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overflowPunct/>
        <w:autoSpaceDE/>
        <w:autoSpaceDN/>
        <w:bidi w:val="0"/>
        <w:snapToGrid/>
        <w:spacing w:line="560" w:lineRule="exact"/>
        <w:jc w:val="center"/>
        <w:textAlignment w:val="auto"/>
        <w:rPr>
          <w:rFonts w:ascii="方正小标宋简体" w:eastAsia="方正小标宋简体"/>
          <w:sz w:val="44"/>
          <w:szCs w:val="32"/>
        </w:rPr>
      </w:pPr>
      <w:r>
        <w:rPr>
          <w:rFonts w:hint="eastAsia" w:ascii="方正小标宋简体" w:eastAsia="方正小标宋简体"/>
          <w:sz w:val="44"/>
          <w:szCs w:val="32"/>
          <w:lang w:eastAsia="zh-CN"/>
        </w:rPr>
        <w:t>武汉东湖新技术开发区市场</w:t>
      </w:r>
      <w:r>
        <w:rPr>
          <w:rFonts w:hint="eastAsia" w:ascii="方正小标宋简体" w:eastAsia="方正小标宋简体"/>
          <w:sz w:val="44"/>
          <w:szCs w:val="32"/>
        </w:rPr>
        <w:t>监督管理局</w:t>
      </w:r>
    </w:p>
    <w:p>
      <w:pPr>
        <w:keepNext w:val="0"/>
        <w:keepLines w:val="0"/>
        <w:pageBreakBefore w:val="0"/>
        <w:widowControl w:val="0"/>
        <w:kinsoku/>
        <w:overflowPunct/>
        <w:autoSpaceDE/>
        <w:autoSpaceDN/>
        <w:bidi w:val="0"/>
        <w:snapToGrid/>
        <w:spacing w:line="560" w:lineRule="exact"/>
        <w:jc w:val="center"/>
        <w:textAlignment w:val="auto"/>
        <w:rPr>
          <w:rFonts w:hint="eastAsia" w:ascii="方正小标宋简体" w:eastAsia="方正小标宋简体"/>
          <w:sz w:val="44"/>
          <w:szCs w:val="32"/>
        </w:rPr>
      </w:pPr>
      <w:r>
        <w:rPr>
          <w:rFonts w:hint="eastAsia" w:ascii="方正小标宋简体" w:eastAsia="方正小标宋简体"/>
          <w:sz w:val="44"/>
          <w:szCs w:val="32"/>
        </w:rPr>
        <w:t>关于不合格食品核查处置情况的通告</w:t>
      </w:r>
    </w:p>
    <w:p>
      <w:pPr>
        <w:keepNext w:val="0"/>
        <w:keepLines w:val="0"/>
        <w:pageBreakBefore w:val="0"/>
        <w:widowControl w:val="0"/>
        <w:kinsoku/>
        <w:overflowPunct/>
        <w:autoSpaceDE/>
        <w:autoSpaceDN/>
        <w:bidi w:val="0"/>
        <w:snapToGrid/>
        <w:spacing w:line="560" w:lineRule="exact"/>
        <w:jc w:val="center"/>
        <w:textAlignment w:val="auto"/>
        <w:rPr>
          <w:rFonts w:hint="eastAsia" w:ascii="方正小标宋简体" w:eastAsia="方正小标宋简体"/>
          <w:sz w:val="44"/>
          <w:szCs w:val="32"/>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eastAsia="仿宋_GB2312"/>
          <w:sz w:val="32"/>
          <w:szCs w:val="32"/>
        </w:rPr>
      </w:pPr>
      <w:r>
        <w:rPr>
          <w:rFonts w:eastAsia="仿宋_GB2312"/>
          <w:sz w:val="32"/>
          <w:szCs w:val="32"/>
        </w:rPr>
        <w:t>现将</w:t>
      </w:r>
      <w:r>
        <w:rPr>
          <w:rFonts w:hint="eastAsia" w:eastAsia="仿宋_GB2312"/>
          <w:sz w:val="32"/>
          <w:szCs w:val="32"/>
          <w:lang w:val="en-US" w:eastAsia="zh-CN"/>
        </w:rPr>
        <w:t>报告编号为</w:t>
      </w:r>
      <w:r>
        <w:rPr>
          <w:rFonts w:hint="eastAsia" w:eastAsia="仿宋_GB2312"/>
          <w:sz w:val="32"/>
          <w:szCs w:val="32"/>
        </w:rPr>
        <w:t>DBJ25420100003445188</w:t>
      </w:r>
      <w:r>
        <w:rPr>
          <w:rFonts w:eastAsia="仿宋_GB2312"/>
          <w:sz w:val="32"/>
          <w:szCs w:val="32"/>
        </w:rPr>
        <w:t>不合格食品核查处置情况通告如下：</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sz w:val="32"/>
          <w:szCs w:val="32"/>
          <w:lang w:val="en-US" w:eastAsia="zh-CN"/>
        </w:rPr>
      </w:pPr>
      <w:r>
        <w:rPr>
          <w:rFonts w:hint="eastAsia" w:ascii="黑体" w:hAnsi="黑体" w:eastAsia="黑体"/>
          <w:sz w:val="32"/>
          <w:szCs w:val="32"/>
          <w:lang w:val="en-US" w:eastAsia="zh-CN"/>
        </w:rPr>
        <w:t>中建三局云服科技武汉有限公司光谷豪生酒店分公司的热干面</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left"/>
        <w:textAlignment w:val="auto"/>
        <w:outlineLvl w:val="9"/>
        <w:rPr>
          <w:rFonts w:hint="eastAsia"/>
        </w:rPr>
      </w:pPr>
      <w:r>
        <w:rPr>
          <w:rFonts w:hint="eastAsia" w:ascii="楷体_GB2312" w:hAnsi="楷体_GB2312" w:eastAsia="楷体_GB2312" w:cs="楷体_GB2312"/>
          <w:sz w:val="32"/>
          <w:szCs w:val="32"/>
          <w:lang w:eastAsia="zh-CN"/>
        </w:rPr>
        <w:t>（</w:t>
      </w:r>
      <w:r>
        <w:rPr>
          <w:rFonts w:hint="eastAsia" w:ascii="楷体_GB2312" w:hAnsi="楷体_GB2312" w:eastAsia="楷体_GB2312" w:cs="楷体_GB2312"/>
          <w:sz w:val="32"/>
          <w:szCs w:val="32"/>
          <w:lang w:val="en-US" w:eastAsia="zh-CN"/>
        </w:rPr>
        <w:t>一</w:t>
      </w:r>
      <w:r>
        <w:rPr>
          <w:rFonts w:hint="eastAsia" w:ascii="楷体_GB2312" w:hAnsi="楷体_GB2312" w:eastAsia="楷体_GB2312" w:cs="楷体_GB2312"/>
          <w:sz w:val="32"/>
          <w:szCs w:val="32"/>
          <w:lang w:eastAsia="zh-CN"/>
        </w:rPr>
        <w:t>）</w:t>
      </w:r>
      <w:r>
        <w:rPr>
          <w:rFonts w:hint="eastAsia" w:ascii="楷体_GB2312" w:hAnsi="楷体_GB2312" w:eastAsia="楷体_GB2312" w:cs="楷体_GB2312"/>
          <w:sz w:val="32"/>
          <w:szCs w:val="32"/>
        </w:rPr>
        <w:t>抽检基本情况。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eastAsia="仿宋_GB2312"/>
          <w:b w:val="0"/>
          <w:bCs w:val="0"/>
          <w:sz w:val="32"/>
          <w:szCs w:val="32"/>
          <w:lang w:val="en-US" w:eastAsia="zh-CN"/>
        </w:rPr>
      </w:pPr>
      <w:r>
        <w:rPr>
          <w:rFonts w:hint="eastAsia" w:eastAsia="仿宋_GB2312"/>
          <w:sz w:val="32"/>
          <w:szCs w:val="32"/>
          <w:lang w:val="en-US" w:eastAsia="zh-CN"/>
        </w:rPr>
        <w:t>2025年</w:t>
      </w:r>
      <w:bookmarkStart w:id="0" w:name="OLE_LINK1"/>
      <w:r>
        <w:rPr>
          <w:rFonts w:hint="eastAsia" w:eastAsia="仿宋_GB2312"/>
          <w:sz w:val="32"/>
          <w:szCs w:val="32"/>
          <w:lang w:val="en-US" w:eastAsia="zh-CN"/>
        </w:rPr>
        <w:t>9月</w:t>
      </w:r>
      <w:bookmarkEnd w:id="0"/>
      <w:r>
        <w:rPr>
          <w:rFonts w:hint="eastAsia" w:eastAsia="仿宋_GB2312"/>
          <w:sz w:val="32"/>
          <w:szCs w:val="32"/>
          <w:lang w:val="en-US" w:eastAsia="zh-CN"/>
        </w:rPr>
        <w:t>24日抽自中建三局云服科技武汉有限公司光谷豪生酒店分公司的热干面，山梨酸及其钾盐(以山梨酸计)项目不符合 GB 2760-2024《食品安全国家标准 食品添加剂使用标准》要求</w:t>
      </w:r>
      <w:r>
        <w:rPr>
          <w:rFonts w:hint="eastAsia" w:eastAsia="仿宋_GB2312"/>
          <w:b w:val="0"/>
          <w:bCs w:val="0"/>
          <w:sz w:val="32"/>
          <w:szCs w:val="32"/>
          <w:lang w:val="en-US" w:eastAsia="zh-CN"/>
        </w:rPr>
        <w:t>，检验结论为不合格。</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left"/>
        <w:textAlignment w:val="auto"/>
        <w:outlineLvl w:val="9"/>
        <w:rPr>
          <w:rFonts w:hint="eastAsia" w:ascii="楷体_GB2312" w:hAnsi="楷体_GB2312" w:eastAsia="楷体_GB2312" w:cs="楷体_GB2312"/>
          <w:sz w:val="32"/>
          <w:szCs w:val="32"/>
          <w:lang w:val="en-US" w:eastAsia="zh-CN"/>
        </w:rPr>
      </w:pPr>
      <w:r>
        <w:rPr>
          <w:rFonts w:hint="eastAsia" w:ascii="楷体_GB2312" w:hAnsi="楷体_GB2312" w:eastAsia="楷体_GB2312" w:cs="楷体_GB2312"/>
          <w:sz w:val="32"/>
          <w:szCs w:val="32"/>
          <w:lang w:val="en-US" w:eastAsia="zh-CN"/>
        </w:rPr>
        <w:t>（二）对企业违法违规行为依法处罚情况。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仿宋_GB2312" w:cs="Times New Roman"/>
          <w:b w:val="0"/>
          <w:bCs w:val="0"/>
          <w:sz w:val="32"/>
          <w:szCs w:val="32"/>
          <w:lang w:val="en-US" w:eastAsia="zh-CN"/>
        </w:rPr>
      </w:pPr>
      <w:r>
        <w:rPr>
          <w:rFonts w:hint="eastAsia" w:ascii="Times New Roman" w:hAnsi="Times New Roman" w:eastAsia="仿宋_GB2312" w:cs="Times New Roman"/>
          <w:b w:val="0"/>
          <w:bCs w:val="0"/>
          <w:kern w:val="2"/>
          <w:sz w:val="32"/>
          <w:szCs w:val="32"/>
          <w:lang w:val="en-US" w:eastAsia="zh-CN" w:bidi="ar-SA"/>
        </w:rPr>
        <w:t>经</w:t>
      </w:r>
      <w:r>
        <w:rPr>
          <w:rFonts w:hint="eastAsia" w:ascii="Times New Roman" w:hAnsi="Times New Roman" w:eastAsia="仿宋_GB2312" w:cs="Times New Roman"/>
          <w:b w:val="0"/>
          <w:bCs w:val="0"/>
          <w:sz w:val="32"/>
          <w:szCs w:val="32"/>
          <w:lang w:val="en-US" w:eastAsia="zh-CN"/>
        </w:rPr>
        <w:t>查，当事人</w:t>
      </w:r>
      <w:r>
        <w:rPr>
          <w:rFonts w:hint="eastAsia" w:ascii="仿宋_GB2312" w:hAnsi="仿宋_GB2312" w:eastAsia="仿宋_GB2312" w:cs="仿宋_GB2312"/>
          <w:b w:val="0"/>
          <w:bCs w:val="0"/>
          <w:color w:val="auto"/>
          <w:sz w:val="32"/>
          <w:szCs w:val="32"/>
          <w:lang w:val="en-US" w:eastAsia="zh-CN"/>
        </w:rPr>
        <w:t>涉嫌销售不符合食品安全国家标准的热干面的</w:t>
      </w:r>
      <w:r>
        <w:rPr>
          <w:rFonts w:hint="eastAsia" w:ascii="Times New Roman" w:hAnsi="Times New Roman" w:eastAsia="仿宋_GB2312" w:cs="Times New Roman"/>
          <w:b w:val="0"/>
          <w:bCs w:val="0"/>
          <w:sz w:val="32"/>
          <w:szCs w:val="32"/>
          <w:lang w:val="en-US" w:eastAsia="zh-CN"/>
        </w:rPr>
        <w:t>行为，违反了《中华人民共和国食品安全法》第三十四条第二项“禁止生产经营下列食品、食品添加剂、食品相关产品：（二）致病性微生物，农药残留、兽药残留、生物毒素、重金属等污染物质以及其他危害人体健康的物质含量超过食品安全标准限量的食品、食品添加剂、食品相关产品；”的规定</w:t>
      </w:r>
      <w:bookmarkStart w:id="1" w:name="Title"/>
      <w:r>
        <w:rPr>
          <w:rFonts w:hint="eastAsia" w:ascii="Times New Roman" w:hAnsi="Times New Roman" w:eastAsia="仿宋_GB2312" w:cs="Times New Roman"/>
          <w:b w:val="0"/>
          <w:bCs w:val="0"/>
          <w:sz w:val="32"/>
          <w:szCs w:val="32"/>
          <w:lang w:val="en-US" w:eastAsia="zh-CN"/>
        </w:rPr>
        <w:t>。</w:t>
      </w:r>
      <w:bookmarkEnd w:id="1"/>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仿宋_GB2312" w:cs="Times New Roman"/>
          <w:b w:val="0"/>
          <w:bCs w:val="0"/>
          <w:sz w:val="32"/>
          <w:szCs w:val="32"/>
          <w:lang w:val="en-US" w:eastAsia="zh-CN"/>
        </w:rPr>
      </w:pPr>
      <w:r>
        <w:rPr>
          <w:rFonts w:hint="eastAsia" w:ascii="Times New Roman" w:hAnsi="Times New Roman" w:eastAsia="仿宋_GB2312" w:cs="Times New Roman"/>
          <w:b w:val="0"/>
          <w:bCs w:val="0"/>
          <w:sz w:val="32"/>
          <w:szCs w:val="32"/>
          <w:lang w:val="en-US" w:eastAsia="zh-CN"/>
        </w:rPr>
        <w:t>鉴于当事人履行了进货查验义务，能如实说明进货来源，符合通过履行食品经营者进货查验义务无法获知上述批次热干面产品不合格的有关情况，有充分证据证明其不知道所采购的涉案食品属不合格食品。</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b w:val="0"/>
          <w:bCs w:val="0"/>
          <w:sz w:val="32"/>
          <w:szCs w:val="32"/>
          <w:lang w:val="en-US" w:eastAsia="zh-CN"/>
        </w:rPr>
      </w:pPr>
      <w:r>
        <w:rPr>
          <w:rFonts w:hint="eastAsia" w:ascii="Times New Roman" w:hAnsi="Times New Roman" w:eastAsia="仿宋_GB2312" w:cs="Times New Roman"/>
          <w:b w:val="0"/>
          <w:bCs w:val="0"/>
          <w:sz w:val="32"/>
          <w:szCs w:val="32"/>
          <w:lang w:val="en-US" w:eastAsia="zh-CN"/>
        </w:rPr>
        <w:t>依据《中华人民共和国食品安全法》第一百三十六条“食品经营者履行了本法规定的进货查验等义务，有充分证据证明其不知道所采购的食品不符合食品安全标准，并能如实说明其进货来源的，可以免予处罚，但应当依法没收其不符合食品安全标准的食品；造成人身、财产或者其他损害的，依法承担赔偿责任”的规定，本局决定</w:t>
      </w:r>
      <w:r>
        <w:rPr>
          <w:rFonts w:hint="eastAsia" w:ascii="Times New Roman" w:hAnsi="Times New Roman" w:eastAsia="仿宋_GB2312" w:cs="Times New Roman"/>
          <w:b w:val="0"/>
          <w:bCs w:val="0"/>
          <w:sz w:val="32"/>
          <w:szCs w:val="32"/>
          <w:lang w:val="en-IE" w:eastAsia="zh-CN"/>
        </w:rPr>
        <w:t>对当事人免于行政处罚</w:t>
      </w:r>
      <w:r>
        <w:rPr>
          <w:rFonts w:hint="eastAsia" w:ascii="Times New Roman" w:hAnsi="Times New Roman" w:eastAsia="仿宋_GB2312" w:cs="Times New Roman"/>
          <w:b w:val="0"/>
          <w:bCs w:val="0"/>
          <w:sz w:val="32"/>
          <w:szCs w:val="32"/>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default"/>
          <w:lang w:val="en-US" w:eastAsia="zh-CN"/>
        </w:rPr>
      </w:pPr>
      <w:r>
        <w:rPr>
          <w:rFonts w:hint="eastAsia" w:ascii="楷体_GB2312" w:hAnsi="楷体_GB2312" w:eastAsia="楷体_GB2312" w:cs="楷体_GB2312"/>
          <w:sz w:val="32"/>
          <w:szCs w:val="32"/>
          <w:lang w:val="en-US" w:eastAsia="zh-CN"/>
        </w:rPr>
        <w:t>（三）原因排查及整改情况。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b w:val="0"/>
          <w:bCs w:val="0"/>
          <w:sz w:val="32"/>
          <w:szCs w:val="32"/>
          <w:lang w:val="en-US" w:eastAsia="zh-CN"/>
        </w:rPr>
      </w:pPr>
      <w:r>
        <w:rPr>
          <w:rFonts w:hint="eastAsia" w:eastAsia="仿宋_GB2312"/>
          <w:sz w:val="32"/>
          <w:szCs w:val="32"/>
          <w:lang w:eastAsia="zh-CN"/>
        </w:rPr>
        <w:t>我局执法人</w:t>
      </w:r>
      <w:r>
        <w:rPr>
          <w:rFonts w:hint="eastAsia" w:ascii="Times New Roman" w:hAnsi="Times New Roman" w:eastAsia="仿宋_GB2312" w:cs="Times New Roman"/>
          <w:b w:val="0"/>
          <w:bCs w:val="0"/>
          <w:sz w:val="32"/>
          <w:szCs w:val="32"/>
          <w:lang w:val="en-US" w:eastAsia="zh-CN"/>
        </w:rPr>
        <w:t>员对该经营单位进行了全面检查，该单位积极配合调查，如实说明涉案产品来源，提供了</w:t>
      </w:r>
      <w:r>
        <w:rPr>
          <w:rFonts w:hint="eastAsia" w:ascii="仿宋_GB2312" w:hAnsi="仿宋_GB2312" w:eastAsia="仿宋_GB2312" w:cs="仿宋_GB2312"/>
          <w:color w:val="auto"/>
          <w:kern w:val="0"/>
          <w:sz w:val="32"/>
          <w:szCs w:val="32"/>
          <w:lang w:val="en-US" w:eastAsia="zh-CN"/>
        </w:rPr>
        <w:t>供货商的</w:t>
      </w:r>
      <w:r>
        <w:rPr>
          <w:rFonts w:hint="eastAsia" w:eastAsia="仿宋_GB2312"/>
          <w:sz w:val="32"/>
          <w:szCs w:val="32"/>
          <w:lang w:val="en-US" w:eastAsia="zh-CN"/>
        </w:rPr>
        <w:t>《</w:t>
      </w:r>
      <w:r>
        <w:rPr>
          <w:rFonts w:hint="eastAsia" w:ascii="仿宋_GB2312" w:hAnsi="仿宋_GB2312" w:eastAsia="仿宋_GB2312" w:cs="仿宋_GB2312"/>
          <w:color w:val="auto"/>
          <w:kern w:val="0"/>
          <w:sz w:val="32"/>
          <w:szCs w:val="32"/>
          <w:lang w:val="en-US" w:eastAsia="zh-CN"/>
        </w:rPr>
        <w:t>营业执照</w:t>
      </w:r>
      <w:r>
        <w:rPr>
          <w:rFonts w:hint="eastAsia" w:eastAsia="仿宋_GB2312"/>
          <w:sz w:val="32"/>
          <w:szCs w:val="32"/>
          <w:lang w:val="en-US" w:eastAsia="zh-CN"/>
        </w:rPr>
        <w:t>》、检验</w:t>
      </w:r>
      <w:r>
        <w:rPr>
          <w:rFonts w:hint="eastAsia" w:ascii="仿宋_GB2312" w:hAnsi="仿宋_GB2312" w:eastAsia="仿宋_GB2312" w:cs="仿宋_GB2312"/>
          <w:sz w:val="32"/>
          <w:szCs w:val="32"/>
          <w:lang w:val="en-US" w:eastAsia="zh-CN"/>
        </w:rPr>
        <w:t>报告和进货票据</w:t>
      </w:r>
      <w:r>
        <w:rPr>
          <w:rFonts w:hint="eastAsia" w:ascii="Times New Roman" w:hAnsi="Times New Roman" w:eastAsia="仿宋_GB2312" w:cs="Times New Roman"/>
          <w:b w:val="0"/>
          <w:bCs w:val="0"/>
          <w:sz w:val="32"/>
          <w:szCs w:val="32"/>
          <w:lang w:val="en-US" w:eastAsia="zh-CN"/>
        </w:rPr>
        <w:t>等相关证明文件。针对此次不合格情况，该单位已制定整改措施：一是严格加强管理力度，并及时更换供应商；二是继续履行审查</w:t>
      </w:r>
      <w:r>
        <w:rPr>
          <w:rFonts w:hint="eastAsia" w:ascii="Times New Roman" w:hAnsi="Times New Roman" w:eastAsia="仿宋_GB2312" w:cs="Times New Roman"/>
          <w:b w:val="0"/>
          <w:bCs w:val="0"/>
          <w:sz w:val="32"/>
          <w:szCs w:val="32"/>
          <w:lang w:val="en-US" w:eastAsia="zh-CN"/>
        </w:rPr>
        <w:t>力度，严格落实进货查验义务</w:t>
      </w:r>
      <w:r>
        <w:rPr>
          <w:rFonts w:hint="eastAsia" w:eastAsia="仿宋_GB2312" w:cs="Times New Roman"/>
          <w:b w:val="0"/>
          <w:bCs w:val="0"/>
          <w:sz w:val="32"/>
          <w:szCs w:val="32"/>
          <w:lang w:val="en-US" w:eastAsia="zh-CN"/>
        </w:rPr>
        <w:t>。</w:t>
      </w:r>
    </w:p>
    <w:p>
      <w:pPr>
        <w:keepNext w:val="0"/>
        <w:keepLines w:val="0"/>
        <w:pageBreakBefore w:val="0"/>
        <w:widowControl w:val="0"/>
        <w:kinsoku/>
        <w:wordWrap/>
        <w:overflowPunct/>
        <w:topLinePunct w:val="0"/>
        <w:autoSpaceDE/>
        <w:autoSpaceDN/>
        <w:bidi w:val="0"/>
        <w:adjustRightInd/>
        <w:snapToGrid/>
        <w:spacing w:line="560" w:lineRule="exact"/>
        <w:ind w:firstLine="2560" w:firstLineChars="800"/>
        <w:jc w:val="both"/>
        <w:textAlignment w:val="auto"/>
        <w:outlineLvl w:val="9"/>
        <w:rPr>
          <w:rFonts w:hint="eastAsia" w:eastAsia="仿宋_GB2312"/>
          <w:sz w:val="32"/>
          <w:szCs w:val="32"/>
          <w:lang w:val="en-US" w:eastAsia="zh-CN"/>
        </w:rPr>
      </w:pPr>
      <w:bookmarkStart w:id="2" w:name="_GoBack"/>
      <w:bookmarkEnd w:id="2"/>
    </w:p>
    <w:p>
      <w:pPr>
        <w:keepNext w:val="0"/>
        <w:keepLines w:val="0"/>
        <w:pageBreakBefore w:val="0"/>
        <w:widowControl w:val="0"/>
        <w:kinsoku/>
        <w:wordWrap/>
        <w:overflowPunct/>
        <w:topLinePunct w:val="0"/>
        <w:autoSpaceDE/>
        <w:autoSpaceDN/>
        <w:bidi w:val="0"/>
        <w:adjustRightInd/>
        <w:snapToGrid/>
        <w:spacing w:line="560" w:lineRule="exact"/>
        <w:ind w:firstLine="2560" w:firstLineChars="800"/>
        <w:jc w:val="both"/>
        <w:textAlignment w:val="auto"/>
        <w:outlineLvl w:val="9"/>
        <w:rPr>
          <w:rFonts w:hint="eastAsia" w:eastAsia="仿宋_GB2312"/>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ind w:firstLine="2560" w:firstLineChars="800"/>
        <w:jc w:val="both"/>
        <w:textAlignment w:val="auto"/>
        <w:outlineLvl w:val="9"/>
        <w:rPr>
          <w:rFonts w:hint="eastAsia" w:eastAsia="仿宋_GB2312"/>
          <w:sz w:val="32"/>
          <w:szCs w:val="32"/>
          <w:lang w:val="en-US" w:eastAsia="zh-CN"/>
        </w:rPr>
      </w:pPr>
      <w:r>
        <w:rPr>
          <w:rFonts w:hint="eastAsia" w:eastAsia="仿宋_GB2312"/>
          <w:sz w:val="32"/>
          <w:szCs w:val="32"/>
          <w:lang w:val="en-US" w:eastAsia="zh-CN"/>
        </w:rPr>
        <w:t>武汉东湖新技术开发区市场监督管理局</w:t>
      </w:r>
    </w:p>
    <w:p>
      <w:pPr>
        <w:keepNext w:val="0"/>
        <w:keepLines w:val="0"/>
        <w:pageBreakBefore w:val="0"/>
        <w:widowControl w:val="0"/>
        <w:kinsoku/>
        <w:wordWrap w:val="0"/>
        <w:overflowPunct/>
        <w:topLinePunct w:val="0"/>
        <w:autoSpaceDE/>
        <w:autoSpaceDN/>
        <w:bidi w:val="0"/>
        <w:adjustRightInd/>
        <w:snapToGrid/>
        <w:spacing w:line="560" w:lineRule="exact"/>
        <w:ind w:firstLine="4160" w:firstLineChars="1300"/>
        <w:jc w:val="both"/>
        <w:textAlignment w:val="auto"/>
        <w:outlineLvl w:val="9"/>
        <w:rPr>
          <w:rFonts w:hint="default" w:eastAsia="仿宋_GB2312"/>
          <w:sz w:val="32"/>
          <w:szCs w:val="32"/>
          <w:lang w:val="en-US" w:eastAsia="zh-CN"/>
        </w:rPr>
      </w:pPr>
      <w:r>
        <w:rPr>
          <w:rFonts w:hint="eastAsia" w:eastAsia="仿宋_GB2312"/>
          <w:sz w:val="32"/>
          <w:szCs w:val="32"/>
          <w:lang w:val="en-US" w:eastAsia="zh-CN"/>
        </w:rPr>
        <w:t>2025</w:t>
      </w:r>
      <w:r>
        <w:rPr>
          <w:rFonts w:hint="default" w:eastAsia="仿宋_GB2312"/>
          <w:sz w:val="32"/>
          <w:szCs w:val="32"/>
          <w:lang w:val="en-US" w:eastAsia="zh-CN"/>
        </w:rPr>
        <w:t>年</w:t>
      </w:r>
      <w:r>
        <w:rPr>
          <w:rFonts w:hint="eastAsia" w:eastAsia="仿宋_GB2312"/>
          <w:sz w:val="32"/>
          <w:szCs w:val="32"/>
          <w:lang w:val="en-US" w:eastAsia="zh-CN"/>
        </w:rPr>
        <w:t>12</w:t>
      </w:r>
      <w:r>
        <w:rPr>
          <w:rFonts w:hint="default" w:eastAsia="仿宋_GB2312"/>
          <w:sz w:val="32"/>
          <w:szCs w:val="32"/>
          <w:lang w:val="en-US" w:eastAsia="zh-CN"/>
        </w:rPr>
        <w:t>月</w:t>
      </w:r>
      <w:r>
        <w:rPr>
          <w:rFonts w:hint="eastAsia" w:eastAsia="仿宋_GB2312"/>
          <w:sz w:val="32"/>
          <w:szCs w:val="32"/>
          <w:lang w:val="en-US" w:eastAsia="zh-CN"/>
        </w:rPr>
        <w:t>16</w:t>
      </w:r>
      <w:r>
        <w:rPr>
          <w:rFonts w:hint="default" w:eastAsia="仿宋_GB2312"/>
          <w:sz w:val="32"/>
          <w:szCs w:val="32"/>
          <w:lang w:val="en-US" w:eastAsia="zh-CN"/>
        </w:rPr>
        <w:t>日</w:t>
      </w:r>
      <w:r>
        <w:rPr>
          <w:rFonts w:hint="eastAsia" w:eastAsia="仿宋_GB2312"/>
          <w:sz w:val="32"/>
          <w:szCs w:val="32"/>
          <w:lang w:val="en-US" w:eastAsia="zh-CN"/>
        </w:rPr>
        <w:t xml:space="preserve">     </w:t>
      </w:r>
    </w:p>
    <w:sectPr>
      <w:footerReference r:id="rId3" w:type="default"/>
      <w:footerReference r:id="rId4" w:type="even"/>
      <w:pgSz w:w="11906" w:h="16838"/>
      <w:pgMar w:top="1440" w:right="1800" w:bottom="1440" w:left="1800" w:header="851" w:footer="1247" w:gutter="0"/>
      <w:cols w:space="425"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Arial Unicode MS">
    <w:altName w:val="宋体"/>
    <w:panose1 w:val="020B0604020202020204"/>
    <w:charset w:val="86"/>
    <w:family w:val="swiss"/>
    <w:pitch w:val="default"/>
    <w:sig w:usb0="00000000" w:usb1="00000000" w:usb2="0000003F" w:usb3="00000000" w:csb0="603F01FF" w:csb1="FFFF0000"/>
  </w:font>
  <w:font w:name="方正小标宋简体">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_GB2312">
    <w:altName w:val="楷体"/>
    <w:panose1 w:val="02010609030101010101"/>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outside" w:y="1"/>
      <w:rPr>
        <w:rStyle w:val="10"/>
        <w:sz w:val="28"/>
        <w:szCs w:val="28"/>
      </w:rPr>
    </w:pPr>
    <w:r>
      <w:rPr>
        <w:rStyle w:val="10"/>
        <w:sz w:val="28"/>
        <w:szCs w:val="28"/>
      </w:rPr>
      <w:fldChar w:fldCharType="begin"/>
    </w:r>
    <w:r>
      <w:rPr>
        <w:rStyle w:val="10"/>
        <w:sz w:val="28"/>
        <w:szCs w:val="28"/>
      </w:rPr>
      <w:instrText xml:space="preserve">PAGE  </w:instrText>
    </w:r>
    <w:r>
      <w:rPr>
        <w:rStyle w:val="10"/>
        <w:sz w:val="28"/>
        <w:szCs w:val="28"/>
      </w:rPr>
      <w:fldChar w:fldCharType="separate"/>
    </w:r>
    <w:r>
      <w:rPr>
        <w:rStyle w:val="10"/>
        <w:sz w:val="28"/>
        <w:szCs w:val="28"/>
      </w:rPr>
      <w:t>2</w:t>
    </w:r>
    <w:r>
      <w:rPr>
        <w:rStyle w:val="10"/>
        <w:sz w:val="28"/>
        <w:szCs w:val="28"/>
      </w:rPr>
      <w:fldChar w:fldCharType="end"/>
    </w:r>
  </w:p>
  <w:p>
    <w:pPr>
      <w:pStyle w:val="4"/>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outside" w:y="1"/>
      <w:rPr>
        <w:rStyle w:val="10"/>
      </w:rPr>
    </w:pPr>
    <w:r>
      <w:rPr>
        <w:rStyle w:val="10"/>
      </w:rPr>
      <w:fldChar w:fldCharType="begin"/>
    </w:r>
    <w:r>
      <w:rPr>
        <w:rStyle w:val="10"/>
      </w:rPr>
      <w:instrText xml:space="preserve">PAGE  </w:instrText>
    </w:r>
    <w:r>
      <w:rPr>
        <w:rStyle w:val="10"/>
      </w:rPr>
      <w:fldChar w:fldCharType="end"/>
    </w:r>
  </w:p>
  <w:p>
    <w:pPr>
      <w:pStyle w:val="4"/>
      <w:ind w:right="360" w:firstLine="360"/>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081611A"/>
    <w:rsid w:val="00AD4FF7"/>
    <w:rsid w:val="00EC010F"/>
    <w:rsid w:val="012E3A44"/>
    <w:rsid w:val="01F621E6"/>
    <w:rsid w:val="022848C5"/>
    <w:rsid w:val="02865C10"/>
    <w:rsid w:val="02D941AB"/>
    <w:rsid w:val="03195FD7"/>
    <w:rsid w:val="031A2C9A"/>
    <w:rsid w:val="032C69D5"/>
    <w:rsid w:val="037B2D94"/>
    <w:rsid w:val="03A36F29"/>
    <w:rsid w:val="03C858EE"/>
    <w:rsid w:val="03D91B06"/>
    <w:rsid w:val="043C5FE1"/>
    <w:rsid w:val="049322AC"/>
    <w:rsid w:val="0502527B"/>
    <w:rsid w:val="05BC06BC"/>
    <w:rsid w:val="05E42A13"/>
    <w:rsid w:val="05F91121"/>
    <w:rsid w:val="06245964"/>
    <w:rsid w:val="06A42B48"/>
    <w:rsid w:val="06A7211B"/>
    <w:rsid w:val="06B27233"/>
    <w:rsid w:val="06B44250"/>
    <w:rsid w:val="06CB31C5"/>
    <w:rsid w:val="06D363B8"/>
    <w:rsid w:val="0733359A"/>
    <w:rsid w:val="07862CB6"/>
    <w:rsid w:val="07883506"/>
    <w:rsid w:val="079414C1"/>
    <w:rsid w:val="07F20132"/>
    <w:rsid w:val="08543D87"/>
    <w:rsid w:val="08602BA8"/>
    <w:rsid w:val="08FA46E1"/>
    <w:rsid w:val="09C70100"/>
    <w:rsid w:val="09E76206"/>
    <w:rsid w:val="09F105B3"/>
    <w:rsid w:val="0A0D17E8"/>
    <w:rsid w:val="0A2819F5"/>
    <w:rsid w:val="0A3547DD"/>
    <w:rsid w:val="0A5647D2"/>
    <w:rsid w:val="0A910564"/>
    <w:rsid w:val="0AAC3C72"/>
    <w:rsid w:val="0AAD2736"/>
    <w:rsid w:val="0AFE3BC3"/>
    <w:rsid w:val="0BE00729"/>
    <w:rsid w:val="0BE63BCF"/>
    <w:rsid w:val="0C015D7D"/>
    <w:rsid w:val="0C660740"/>
    <w:rsid w:val="0CD27E67"/>
    <w:rsid w:val="0D7231BC"/>
    <w:rsid w:val="0DBB3146"/>
    <w:rsid w:val="0E3623AE"/>
    <w:rsid w:val="0E562FC0"/>
    <w:rsid w:val="0E762F46"/>
    <w:rsid w:val="0EFE518C"/>
    <w:rsid w:val="0F812DD5"/>
    <w:rsid w:val="0F844CC6"/>
    <w:rsid w:val="0FC4221B"/>
    <w:rsid w:val="0FEA5B0F"/>
    <w:rsid w:val="0FFD229E"/>
    <w:rsid w:val="1078223F"/>
    <w:rsid w:val="10B26BF4"/>
    <w:rsid w:val="11EE54F1"/>
    <w:rsid w:val="11FA1E15"/>
    <w:rsid w:val="134F34A6"/>
    <w:rsid w:val="13802757"/>
    <w:rsid w:val="1391711A"/>
    <w:rsid w:val="13AD648F"/>
    <w:rsid w:val="141D2C86"/>
    <w:rsid w:val="1428264A"/>
    <w:rsid w:val="148215ED"/>
    <w:rsid w:val="14D85C78"/>
    <w:rsid w:val="151128EB"/>
    <w:rsid w:val="154E1950"/>
    <w:rsid w:val="158F59EA"/>
    <w:rsid w:val="15C50DAE"/>
    <w:rsid w:val="16AB2FDC"/>
    <w:rsid w:val="16B06B85"/>
    <w:rsid w:val="178222B0"/>
    <w:rsid w:val="17D104A9"/>
    <w:rsid w:val="17DD6436"/>
    <w:rsid w:val="18157E41"/>
    <w:rsid w:val="184A0D05"/>
    <w:rsid w:val="185C7C74"/>
    <w:rsid w:val="18611B2B"/>
    <w:rsid w:val="18665D95"/>
    <w:rsid w:val="188F7B75"/>
    <w:rsid w:val="18E845C5"/>
    <w:rsid w:val="19295233"/>
    <w:rsid w:val="19C176CF"/>
    <w:rsid w:val="19C66458"/>
    <w:rsid w:val="1A427F7D"/>
    <w:rsid w:val="1AC403E0"/>
    <w:rsid w:val="1AC66F8E"/>
    <w:rsid w:val="1B434036"/>
    <w:rsid w:val="1B4F33EC"/>
    <w:rsid w:val="1B5012FB"/>
    <w:rsid w:val="1B765E75"/>
    <w:rsid w:val="1B8041FD"/>
    <w:rsid w:val="1C4B29B0"/>
    <w:rsid w:val="1C543D53"/>
    <w:rsid w:val="1DCC2190"/>
    <w:rsid w:val="1E0E3CEC"/>
    <w:rsid w:val="1E7E1981"/>
    <w:rsid w:val="1F081643"/>
    <w:rsid w:val="1FDA19FB"/>
    <w:rsid w:val="200935DC"/>
    <w:rsid w:val="2037367D"/>
    <w:rsid w:val="206814FD"/>
    <w:rsid w:val="20C64A1E"/>
    <w:rsid w:val="20EC2133"/>
    <w:rsid w:val="20FB5C6F"/>
    <w:rsid w:val="21013697"/>
    <w:rsid w:val="2171516D"/>
    <w:rsid w:val="21DA70B8"/>
    <w:rsid w:val="21DF7E38"/>
    <w:rsid w:val="2207452E"/>
    <w:rsid w:val="220F251D"/>
    <w:rsid w:val="22712A2C"/>
    <w:rsid w:val="22977D4A"/>
    <w:rsid w:val="22E938B0"/>
    <w:rsid w:val="22FD3125"/>
    <w:rsid w:val="23727CD0"/>
    <w:rsid w:val="23945A72"/>
    <w:rsid w:val="23DF1901"/>
    <w:rsid w:val="240D6649"/>
    <w:rsid w:val="241B7F15"/>
    <w:rsid w:val="24964711"/>
    <w:rsid w:val="24D859AE"/>
    <w:rsid w:val="24F37810"/>
    <w:rsid w:val="252D6809"/>
    <w:rsid w:val="25485E80"/>
    <w:rsid w:val="259D1595"/>
    <w:rsid w:val="25B146CC"/>
    <w:rsid w:val="25DF6B72"/>
    <w:rsid w:val="263B78CF"/>
    <w:rsid w:val="2644262F"/>
    <w:rsid w:val="272B0385"/>
    <w:rsid w:val="272F5A50"/>
    <w:rsid w:val="27685E79"/>
    <w:rsid w:val="27B97E8D"/>
    <w:rsid w:val="27CA0CAB"/>
    <w:rsid w:val="28BD5493"/>
    <w:rsid w:val="28E7314A"/>
    <w:rsid w:val="28E750BB"/>
    <w:rsid w:val="290273F3"/>
    <w:rsid w:val="294560D8"/>
    <w:rsid w:val="297F6074"/>
    <w:rsid w:val="29F72AE8"/>
    <w:rsid w:val="2A367E8D"/>
    <w:rsid w:val="2B8F3E3B"/>
    <w:rsid w:val="2BB57F18"/>
    <w:rsid w:val="2BED54AA"/>
    <w:rsid w:val="2C01177C"/>
    <w:rsid w:val="2D9177AD"/>
    <w:rsid w:val="2D98535F"/>
    <w:rsid w:val="2E384EFC"/>
    <w:rsid w:val="2EAA3276"/>
    <w:rsid w:val="2EB96CAB"/>
    <w:rsid w:val="2EBC2C33"/>
    <w:rsid w:val="2F01285B"/>
    <w:rsid w:val="2F5614BD"/>
    <w:rsid w:val="2F64349D"/>
    <w:rsid w:val="2FC709AD"/>
    <w:rsid w:val="2FFF34B3"/>
    <w:rsid w:val="301634AF"/>
    <w:rsid w:val="303B14B7"/>
    <w:rsid w:val="309E0133"/>
    <w:rsid w:val="312F1C8F"/>
    <w:rsid w:val="31410ADB"/>
    <w:rsid w:val="31AE616A"/>
    <w:rsid w:val="320A5E9F"/>
    <w:rsid w:val="322C0E36"/>
    <w:rsid w:val="322E174B"/>
    <w:rsid w:val="32FB7FC6"/>
    <w:rsid w:val="33831552"/>
    <w:rsid w:val="33875743"/>
    <w:rsid w:val="33A743DF"/>
    <w:rsid w:val="33C13BA1"/>
    <w:rsid w:val="344B49FF"/>
    <w:rsid w:val="344C157A"/>
    <w:rsid w:val="34B3770A"/>
    <w:rsid w:val="34FF4367"/>
    <w:rsid w:val="350A0A2B"/>
    <w:rsid w:val="35454ACD"/>
    <w:rsid w:val="35E37025"/>
    <w:rsid w:val="35EA1101"/>
    <w:rsid w:val="35EB0756"/>
    <w:rsid w:val="364C1B57"/>
    <w:rsid w:val="369C0825"/>
    <w:rsid w:val="369E377C"/>
    <w:rsid w:val="36F16073"/>
    <w:rsid w:val="373527DC"/>
    <w:rsid w:val="37A40015"/>
    <w:rsid w:val="37D619D9"/>
    <w:rsid w:val="38181E92"/>
    <w:rsid w:val="385D0C07"/>
    <w:rsid w:val="38645639"/>
    <w:rsid w:val="38CC5375"/>
    <w:rsid w:val="39884F38"/>
    <w:rsid w:val="3A1B20DA"/>
    <w:rsid w:val="3A200389"/>
    <w:rsid w:val="3A6C0903"/>
    <w:rsid w:val="3AD51DDA"/>
    <w:rsid w:val="3AF60AFB"/>
    <w:rsid w:val="3AFA5077"/>
    <w:rsid w:val="3B7031B2"/>
    <w:rsid w:val="3B770B56"/>
    <w:rsid w:val="3BC1660B"/>
    <w:rsid w:val="3D005A45"/>
    <w:rsid w:val="3D4E4434"/>
    <w:rsid w:val="3D5C0252"/>
    <w:rsid w:val="3DD75AE4"/>
    <w:rsid w:val="3DE752B1"/>
    <w:rsid w:val="3E061F73"/>
    <w:rsid w:val="3E5962C4"/>
    <w:rsid w:val="3E757063"/>
    <w:rsid w:val="3F0A0E39"/>
    <w:rsid w:val="3F0F1D3C"/>
    <w:rsid w:val="3F191994"/>
    <w:rsid w:val="3F307160"/>
    <w:rsid w:val="4031098C"/>
    <w:rsid w:val="40704606"/>
    <w:rsid w:val="40821F36"/>
    <w:rsid w:val="40976185"/>
    <w:rsid w:val="412E4291"/>
    <w:rsid w:val="41366633"/>
    <w:rsid w:val="41D5249F"/>
    <w:rsid w:val="4255407F"/>
    <w:rsid w:val="425E7D06"/>
    <w:rsid w:val="42D9657C"/>
    <w:rsid w:val="43556616"/>
    <w:rsid w:val="43715E3A"/>
    <w:rsid w:val="43747872"/>
    <w:rsid w:val="43A268DE"/>
    <w:rsid w:val="43B81F37"/>
    <w:rsid w:val="43BB469E"/>
    <w:rsid w:val="43E81139"/>
    <w:rsid w:val="43FD30EB"/>
    <w:rsid w:val="4432385F"/>
    <w:rsid w:val="443959B8"/>
    <w:rsid w:val="446A4392"/>
    <w:rsid w:val="44994BFE"/>
    <w:rsid w:val="449F59C6"/>
    <w:rsid w:val="44B40832"/>
    <w:rsid w:val="450822D5"/>
    <w:rsid w:val="452C1738"/>
    <w:rsid w:val="45781579"/>
    <w:rsid w:val="459D3BAC"/>
    <w:rsid w:val="45B15B6F"/>
    <w:rsid w:val="45C70991"/>
    <w:rsid w:val="46063600"/>
    <w:rsid w:val="46FE04A5"/>
    <w:rsid w:val="47413D83"/>
    <w:rsid w:val="47E23EBB"/>
    <w:rsid w:val="482B0CE1"/>
    <w:rsid w:val="484375F2"/>
    <w:rsid w:val="4932086F"/>
    <w:rsid w:val="496804C3"/>
    <w:rsid w:val="49B33B65"/>
    <w:rsid w:val="49BE5F57"/>
    <w:rsid w:val="49D55CCC"/>
    <w:rsid w:val="4A092CEE"/>
    <w:rsid w:val="4A0F4C6E"/>
    <w:rsid w:val="4B171876"/>
    <w:rsid w:val="4B2D3BB3"/>
    <w:rsid w:val="4B7F2071"/>
    <w:rsid w:val="4B9F45FB"/>
    <w:rsid w:val="4C0A2CAF"/>
    <w:rsid w:val="4CAD3BFC"/>
    <w:rsid w:val="4CF36C10"/>
    <w:rsid w:val="4D3F3966"/>
    <w:rsid w:val="4D6449EC"/>
    <w:rsid w:val="4D714B56"/>
    <w:rsid w:val="4DB869DC"/>
    <w:rsid w:val="4E8A3567"/>
    <w:rsid w:val="4EBB20E8"/>
    <w:rsid w:val="4ED6150F"/>
    <w:rsid w:val="4EF87A84"/>
    <w:rsid w:val="4F0C246E"/>
    <w:rsid w:val="4F27768C"/>
    <w:rsid w:val="4F320217"/>
    <w:rsid w:val="4F5B2592"/>
    <w:rsid w:val="4FB27361"/>
    <w:rsid w:val="4FCA59F0"/>
    <w:rsid w:val="501A2DA6"/>
    <w:rsid w:val="50206532"/>
    <w:rsid w:val="507913AF"/>
    <w:rsid w:val="50D52FBA"/>
    <w:rsid w:val="50E922F5"/>
    <w:rsid w:val="512C3BED"/>
    <w:rsid w:val="51535D1B"/>
    <w:rsid w:val="51C163D9"/>
    <w:rsid w:val="52495DE8"/>
    <w:rsid w:val="527049F9"/>
    <w:rsid w:val="52A54EA1"/>
    <w:rsid w:val="536C718F"/>
    <w:rsid w:val="53751EBA"/>
    <w:rsid w:val="53857FDF"/>
    <w:rsid w:val="54182D6F"/>
    <w:rsid w:val="543B65E6"/>
    <w:rsid w:val="544C19ED"/>
    <w:rsid w:val="544D66DA"/>
    <w:rsid w:val="54987538"/>
    <w:rsid w:val="54CA7311"/>
    <w:rsid w:val="55F4617B"/>
    <w:rsid w:val="56C22E2C"/>
    <w:rsid w:val="56FB56AD"/>
    <w:rsid w:val="57BF307B"/>
    <w:rsid w:val="591B75F7"/>
    <w:rsid w:val="5945486B"/>
    <w:rsid w:val="59802FCB"/>
    <w:rsid w:val="5A087442"/>
    <w:rsid w:val="5A701228"/>
    <w:rsid w:val="5A736A40"/>
    <w:rsid w:val="5A946F21"/>
    <w:rsid w:val="5A9D7A40"/>
    <w:rsid w:val="5AE87E3F"/>
    <w:rsid w:val="5B156D38"/>
    <w:rsid w:val="5B282F95"/>
    <w:rsid w:val="5B702303"/>
    <w:rsid w:val="5B7511E7"/>
    <w:rsid w:val="5BC3356E"/>
    <w:rsid w:val="5BE85778"/>
    <w:rsid w:val="5C282774"/>
    <w:rsid w:val="5CED2007"/>
    <w:rsid w:val="5D082CDF"/>
    <w:rsid w:val="5DAC617B"/>
    <w:rsid w:val="5DB73809"/>
    <w:rsid w:val="5DE867AE"/>
    <w:rsid w:val="5E0C1D7C"/>
    <w:rsid w:val="5E681116"/>
    <w:rsid w:val="5ED86461"/>
    <w:rsid w:val="5EFE71D2"/>
    <w:rsid w:val="5F0F0FBD"/>
    <w:rsid w:val="5F1F592B"/>
    <w:rsid w:val="5F5E2CAF"/>
    <w:rsid w:val="5F726AFE"/>
    <w:rsid w:val="5FC9335B"/>
    <w:rsid w:val="5FDE5B8E"/>
    <w:rsid w:val="5FE2657B"/>
    <w:rsid w:val="601F638E"/>
    <w:rsid w:val="60AC3FDF"/>
    <w:rsid w:val="60B078BF"/>
    <w:rsid w:val="60E2206D"/>
    <w:rsid w:val="610D1C2D"/>
    <w:rsid w:val="613A2E11"/>
    <w:rsid w:val="61AF38AA"/>
    <w:rsid w:val="61EB6FE8"/>
    <w:rsid w:val="621A2951"/>
    <w:rsid w:val="62210286"/>
    <w:rsid w:val="627F35C8"/>
    <w:rsid w:val="62A941BD"/>
    <w:rsid w:val="62A97E1E"/>
    <w:rsid w:val="62FD704B"/>
    <w:rsid w:val="63B77699"/>
    <w:rsid w:val="63B84723"/>
    <w:rsid w:val="63F2579A"/>
    <w:rsid w:val="649A72EB"/>
    <w:rsid w:val="64BA1A0D"/>
    <w:rsid w:val="64CF125C"/>
    <w:rsid w:val="657764EA"/>
    <w:rsid w:val="65A65B15"/>
    <w:rsid w:val="65C46D71"/>
    <w:rsid w:val="65D74FB3"/>
    <w:rsid w:val="65DD05A1"/>
    <w:rsid w:val="65F50571"/>
    <w:rsid w:val="66050144"/>
    <w:rsid w:val="661831AB"/>
    <w:rsid w:val="66483949"/>
    <w:rsid w:val="664A660B"/>
    <w:rsid w:val="668D6B97"/>
    <w:rsid w:val="672E6FB2"/>
    <w:rsid w:val="679276B1"/>
    <w:rsid w:val="67FE6C38"/>
    <w:rsid w:val="68472ABA"/>
    <w:rsid w:val="68BF2D88"/>
    <w:rsid w:val="69133681"/>
    <w:rsid w:val="692348B6"/>
    <w:rsid w:val="69B81DD1"/>
    <w:rsid w:val="69CB2E9E"/>
    <w:rsid w:val="69E043F6"/>
    <w:rsid w:val="6A6B401A"/>
    <w:rsid w:val="6A710E26"/>
    <w:rsid w:val="6A9C5112"/>
    <w:rsid w:val="6AA063F4"/>
    <w:rsid w:val="6AED2300"/>
    <w:rsid w:val="6B2E6296"/>
    <w:rsid w:val="6B425AF6"/>
    <w:rsid w:val="6B5253E6"/>
    <w:rsid w:val="6B78426C"/>
    <w:rsid w:val="6BB00A49"/>
    <w:rsid w:val="6C2975FB"/>
    <w:rsid w:val="6C4E1DC6"/>
    <w:rsid w:val="6C5629F9"/>
    <w:rsid w:val="6C8115A7"/>
    <w:rsid w:val="6CA45E51"/>
    <w:rsid w:val="6CE23C89"/>
    <w:rsid w:val="6CFD7B2E"/>
    <w:rsid w:val="6D5676EC"/>
    <w:rsid w:val="6E4D4A90"/>
    <w:rsid w:val="6EB14834"/>
    <w:rsid w:val="6F583F5A"/>
    <w:rsid w:val="6F7B7803"/>
    <w:rsid w:val="700E3121"/>
    <w:rsid w:val="70F42CBC"/>
    <w:rsid w:val="7184039E"/>
    <w:rsid w:val="71D67EA4"/>
    <w:rsid w:val="71E421CB"/>
    <w:rsid w:val="72351068"/>
    <w:rsid w:val="726807DE"/>
    <w:rsid w:val="726D5F54"/>
    <w:rsid w:val="72803949"/>
    <w:rsid w:val="73C53520"/>
    <w:rsid w:val="73EB0E3A"/>
    <w:rsid w:val="745831D2"/>
    <w:rsid w:val="747A53D7"/>
    <w:rsid w:val="74944BF7"/>
    <w:rsid w:val="751355EF"/>
    <w:rsid w:val="75892F76"/>
    <w:rsid w:val="759954FE"/>
    <w:rsid w:val="75AD6A4E"/>
    <w:rsid w:val="75FC2282"/>
    <w:rsid w:val="7646766A"/>
    <w:rsid w:val="76BB7341"/>
    <w:rsid w:val="76C70360"/>
    <w:rsid w:val="76F934E2"/>
    <w:rsid w:val="772C3F02"/>
    <w:rsid w:val="77303BDE"/>
    <w:rsid w:val="77502C87"/>
    <w:rsid w:val="775B2DBD"/>
    <w:rsid w:val="77B3133E"/>
    <w:rsid w:val="78212FBB"/>
    <w:rsid w:val="785D5F68"/>
    <w:rsid w:val="78953164"/>
    <w:rsid w:val="78E148C6"/>
    <w:rsid w:val="78F410AA"/>
    <w:rsid w:val="7905538F"/>
    <w:rsid w:val="793F6AEA"/>
    <w:rsid w:val="797C2F4C"/>
    <w:rsid w:val="798833E0"/>
    <w:rsid w:val="79914FB2"/>
    <w:rsid w:val="79BF118C"/>
    <w:rsid w:val="79E5652D"/>
    <w:rsid w:val="7A0803AC"/>
    <w:rsid w:val="7B5D411E"/>
    <w:rsid w:val="7BE744BE"/>
    <w:rsid w:val="7BE8031C"/>
    <w:rsid w:val="7C5A2CFA"/>
    <w:rsid w:val="7D111FAE"/>
    <w:rsid w:val="7D186EC0"/>
    <w:rsid w:val="7D817463"/>
    <w:rsid w:val="7DC71A4D"/>
    <w:rsid w:val="7DE7687B"/>
    <w:rsid w:val="7E1E409F"/>
    <w:rsid w:val="7E925178"/>
    <w:rsid w:val="7F147FF6"/>
    <w:rsid w:val="7F2D320B"/>
    <w:rsid w:val="7F5062A2"/>
    <w:rsid w:val="7F677D87"/>
    <w:rsid w:val="7F9474B0"/>
    <w:rsid w:val="7F975CA2"/>
    <w:rsid w:val="7FA73631"/>
    <w:rsid w:val="7FCF7E97"/>
    <w:rsid w:val="7FF41EE2"/>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1"/>
    <w:pPr>
      <w:autoSpaceDE w:val="0"/>
      <w:autoSpaceDN w:val="0"/>
      <w:adjustRightInd w:val="0"/>
      <w:jc w:val="left"/>
    </w:pPr>
    <w:rPr>
      <w:rFonts w:ascii="Arial Unicode MS" w:hAnsi="Times New Roman" w:eastAsia="Arial Unicode MS"/>
      <w:kern w:val="0"/>
      <w:sz w:val="32"/>
      <w:szCs w:val="32"/>
    </w:rPr>
  </w:style>
  <w:style w:type="paragraph" w:styleId="3">
    <w:name w:val="Body Text Indent"/>
    <w:basedOn w:val="1"/>
    <w:qFormat/>
    <w:uiPriority w:val="0"/>
    <w:pPr>
      <w:ind w:left="6" w:hanging="2"/>
    </w:pPr>
  </w:style>
  <w:style w:type="paragraph" w:styleId="4">
    <w:name w:val="footer"/>
    <w:basedOn w:val="1"/>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Normal (Web)"/>
    <w:basedOn w:val="1"/>
    <w:qFormat/>
    <w:uiPriority w:val="0"/>
    <w:pPr>
      <w:spacing w:before="100" w:beforeLines="0" w:beforeAutospacing="1" w:after="100" w:afterLines="0" w:afterAutospacing="1"/>
      <w:ind w:left="0" w:right="0"/>
      <w:jc w:val="left"/>
    </w:pPr>
    <w:rPr>
      <w:kern w:val="0"/>
      <w:sz w:val="24"/>
      <w:lang w:val="en-US" w:eastAsia="zh-CN" w:bidi="ar"/>
    </w:rPr>
  </w:style>
  <w:style w:type="paragraph" w:styleId="7">
    <w:name w:val="Body Text First Indent 2"/>
    <w:basedOn w:val="3"/>
    <w:qFormat/>
    <w:uiPriority w:val="0"/>
    <w:pPr>
      <w:ind w:firstLine="420" w:firstLineChars="200"/>
    </w:pPr>
  </w:style>
  <w:style w:type="character" w:styleId="10">
    <w:name w:val="page number"/>
    <w:basedOn w:val="9"/>
    <w:qFormat/>
    <w:uiPriority w:val="0"/>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Office_11.8.6.8811_F1E327BC-269C-435d-A152-05C5408002CA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特发</cp:lastModifiedBy>
  <cp:lastPrinted>2025-06-09T03:37:00Z</cp:lastPrinted>
  <dcterms:modified xsi:type="dcterms:W3CDTF">2025-12-22T02:59:35Z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2052-11.8.6.8811</vt:lpwstr>
  </property>
</Properties>
</file>